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9E1" w:rsidRPr="00C37542" w:rsidRDefault="005379E1" w:rsidP="005379E1">
      <w:pPr>
        <w:jc w:val="center"/>
        <w:rPr>
          <w:b/>
        </w:rPr>
      </w:pPr>
      <w:r w:rsidRPr="00C37542">
        <w:rPr>
          <w:b/>
        </w:rPr>
        <w:t xml:space="preserve">Uzasadnienie do uchwały Nr </w:t>
      </w:r>
      <w:r w:rsidR="00C37542" w:rsidRPr="00C37542">
        <w:rPr>
          <w:b/>
        </w:rPr>
        <w:t>LIX/602/2023</w:t>
      </w:r>
      <w:r w:rsidRPr="00C37542">
        <w:rPr>
          <w:b/>
        </w:rPr>
        <w:t xml:space="preserve"> Rady Gminy Górno </w:t>
      </w:r>
    </w:p>
    <w:p w:rsidR="005379E1" w:rsidRPr="00C37542" w:rsidRDefault="003B6E68" w:rsidP="005379E1">
      <w:pPr>
        <w:jc w:val="center"/>
        <w:rPr>
          <w:b/>
          <w:bCs/>
        </w:rPr>
      </w:pPr>
      <w:r w:rsidRPr="00C37542">
        <w:rPr>
          <w:b/>
        </w:rPr>
        <w:t xml:space="preserve">z dnia </w:t>
      </w:r>
      <w:r w:rsidR="00C37542" w:rsidRPr="00C37542">
        <w:rPr>
          <w:b/>
        </w:rPr>
        <w:t>28 sierpnia 2023</w:t>
      </w:r>
      <w:r w:rsidR="005379E1" w:rsidRPr="00C37542">
        <w:rPr>
          <w:b/>
          <w:bCs/>
        </w:rPr>
        <w:t xml:space="preserve"> r</w:t>
      </w:r>
      <w:r w:rsidR="005379E1" w:rsidRPr="00C37542">
        <w:rPr>
          <w:b/>
        </w:rPr>
        <w:t xml:space="preserve">. w sprawie zmiany Nr </w:t>
      </w:r>
      <w:r w:rsidR="00DC545A" w:rsidRPr="00C37542">
        <w:rPr>
          <w:b/>
        </w:rPr>
        <w:t>2</w:t>
      </w:r>
      <w:r w:rsidR="005379E1" w:rsidRPr="00C37542">
        <w:rPr>
          <w:b/>
        </w:rPr>
        <w:t xml:space="preserve"> </w:t>
      </w:r>
      <w:r w:rsidR="005379E1" w:rsidRPr="00C37542">
        <w:rPr>
          <w:b/>
          <w:bCs/>
        </w:rPr>
        <w:t>miejscowego planu zagospodarowania przestrzennego gminy Górno "</w:t>
      </w:r>
      <w:r w:rsidR="00DC545A" w:rsidRPr="00C37542">
        <w:rPr>
          <w:b/>
          <w:bCs/>
        </w:rPr>
        <w:t>Radlin</w:t>
      </w:r>
      <w:r w:rsidR="005379E1" w:rsidRPr="00C37542">
        <w:rPr>
          <w:b/>
          <w:bCs/>
        </w:rPr>
        <w:t xml:space="preserve">"  </w:t>
      </w:r>
    </w:p>
    <w:p w:rsidR="005379E1" w:rsidRPr="00C37542" w:rsidRDefault="005379E1" w:rsidP="005379E1">
      <w:pPr>
        <w:jc w:val="center"/>
        <w:rPr>
          <w:b/>
        </w:rPr>
      </w:pPr>
    </w:p>
    <w:p w:rsidR="005379E1" w:rsidRPr="00C37542" w:rsidRDefault="005379E1" w:rsidP="005379E1">
      <w:pPr>
        <w:ind w:firstLine="708"/>
        <w:jc w:val="both"/>
      </w:pPr>
      <w:r w:rsidRPr="00C37542">
        <w:t xml:space="preserve">Uchwałę w sprawie zmiany Nr </w:t>
      </w:r>
      <w:r w:rsidR="00A21C4F" w:rsidRPr="00C37542">
        <w:t>2</w:t>
      </w:r>
      <w:r w:rsidRPr="00C37542">
        <w:t xml:space="preserve"> miejscowego planu zagospodarowania przestrzennego gminy Górno "</w:t>
      </w:r>
      <w:r w:rsidR="00A21C4F" w:rsidRPr="00C37542">
        <w:t>Radlin</w:t>
      </w:r>
      <w:r w:rsidRPr="00C37542">
        <w:t>" podejmuje się w trybie ustawy z dnia 27 marca 2003 r. o planowaniu i zagospodarowaniu przestrzennym (</w:t>
      </w:r>
      <w:proofErr w:type="spellStart"/>
      <w:r w:rsidR="00DC545A" w:rsidRPr="00C37542">
        <w:t>t.j</w:t>
      </w:r>
      <w:proofErr w:type="spellEnd"/>
      <w:r w:rsidR="00DC545A" w:rsidRPr="00C37542">
        <w:t xml:space="preserve">. </w:t>
      </w:r>
      <w:r w:rsidRPr="00C37542">
        <w:t>Dz. U. z 202</w:t>
      </w:r>
      <w:r w:rsidR="00DC545A" w:rsidRPr="00C37542">
        <w:t>3</w:t>
      </w:r>
      <w:r w:rsidRPr="00C37542">
        <w:t xml:space="preserve"> r. poz. </w:t>
      </w:r>
      <w:r w:rsidR="00DC545A" w:rsidRPr="00C37542">
        <w:t>977</w:t>
      </w:r>
      <w:r w:rsidRPr="00C37542">
        <w:t xml:space="preserve">). </w:t>
      </w:r>
    </w:p>
    <w:p w:rsidR="00125716" w:rsidRPr="00C37542" w:rsidRDefault="005379E1" w:rsidP="00125716">
      <w:pPr>
        <w:ind w:firstLine="708"/>
        <w:jc w:val="both"/>
      </w:pPr>
      <w:r w:rsidRPr="00C37542">
        <w:t>Niniejsza uchwała kończy tryb postępowania w sprawie zmiany miejscowego planu zagospodarowania przestrzennego przewidziany w art. 17 w/w ustawy, o której mowa powyżej.</w:t>
      </w:r>
    </w:p>
    <w:p w:rsidR="00A21C4F" w:rsidRPr="00C37542" w:rsidRDefault="00A21C4F" w:rsidP="00A21C4F">
      <w:pPr>
        <w:autoSpaceDE w:val="0"/>
        <w:autoSpaceDN w:val="0"/>
        <w:adjustRightInd w:val="0"/>
        <w:ind w:firstLine="720"/>
        <w:jc w:val="both"/>
      </w:pPr>
      <w:r w:rsidRPr="00C37542">
        <w:t xml:space="preserve">Projekt zmiany planu obejmuje część miejscowości Radlin w gminie Górno, działkę nr </w:t>
      </w:r>
      <w:proofErr w:type="spellStart"/>
      <w:r w:rsidRPr="00C37542">
        <w:t>ewid</w:t>
      </w:r>
      <w:proofErr w:type="spellEnd"/>
      <w:r w:rsidRPr="00C37542">
        <w:t xml:space="preserve">. 2167 zgodnie z załącznikiem do uchwały Nr XXIV/218/2020 Rady Gminy Górno      z dnia 23 marca 2020 r. w sprawie przystąpienia do sporządzenia zmiany Nr 2 miejscowego planu zagospodarowania przestrzennego gminy Górno "Radlin". Działka ta w miejscowym planie zagospodarowania przestrzennego uchwalonym </w:t>
      </w:r>
      <w:r w:rsidRPr="00C37542">
        <w:rPr>
          <w:rFonts w:eastAsia="Arial Unicode MS"/>
        </w:rPr>
        <w:t xml:space="preserve">uchwałą nr </w:t>
      </w:r>
      <w:r w:rsidRPr="00C37542">
        <w:t>LIII/419/2014</w:t>
      </w:r>
      <w:r w:rsidRPr="00C37542">
        <w:rPr>
          <w:bCs/>
        </w:rPr>
        <w:t xml:space="preserve"> Rady Gminy Górno z dnia 29 września 2014 r. w sprawie uchwalenia miejscowego planu zagospodarowania przestrzennego Gminy Górno „Radlin” (Dz. Urz. Woj. </w:t>
      </w:r>
      <w:proofErr w:type="spellStart"/>
      <w:r w:rsidRPr="00C37542">
        <w:rPr>
          <w:bCs/>
        </w:rPr>
        <w:t>Święt</w:t>
      </w:r>
      <w:proofErr w:type="spellEnd"/>
      <w:r w:rsidRPr="00C37542">
        <w:rPr>
          <w:bCs/>
        </w:rPr>
        <w:t xml:space="preserve">. z 2014 r. poz. 3318) </w:t>
      </w:r>
      <w:r w:rsidRPr="00C37542">
        <w:t>przeznaczona jest na cele realizacji obiektów produkcyjnych, składów                     i magazynów i oznaczona jest symbolem "3.P.1". W ramach tego przeznaczenia nie jest dopuszczona zabudowa usługowa. W związku z tym, przedmiotem zmiany planu jest utrzymanie funkcji zabudowy produkcyjnej, składów i magazynów i rozszerzenie jej               o zabudowę usługową oraz dostosowanie wskaźników i parametrów kształtowania zabudowy do tych, które wynikają z obowiązującego studium uwarunkowań i kierunków zagospodarowania przestrzennego gminy Górno zatwierdzonego uchwałą nr XXX/303/2021 Rady Gminy Górno z dnia 19 kwietnia 2021 r.  I, tak:</w:t>
      </w:r>
    </w:p>
    <w:p w:rsidR="00A21C4F" w:rsidRPr="00C37542" w:rsidRDefault="00A21C4F" w:rsidP="00A21C4F">
      <w:pPr>
        <w:pStyle w:val="Akapitzlist"/>
        <w:numPr>
          <w:ilvl w:val="0"/>
          <w:numId w:val="8"/>
        </w:numPr>
        <w:autoSpaceDE w:val="0"/>
        <w:autoSpaceDN w:val="0"/>
        <w:adjustRightInd w:val="0"/>
        <w:jc w:val="both"/>
      </w:pPr>
      <w:r w:rsidRPr="00C37542">
        <w:t>maksymalna wysokość zabudowy zwiększona została do 15 m;</w:t>
      </w:r>
    </w:p>
    <w:p w:rsidR="00A21C4F" w:rsidRPr="00C37542" w:rsidRDefault="00A21C4F" w:rsidP="00A21C4F">
      <w:pPr>
        <w:pStyle w:val="Akapitzlist"/>
        <w:numPr>
          <w:ilvl w:val="0"/>
          <w:numId w:val="8"/>
        </w:numPr>
        <w:autoSpaceDE w:val="0"/>
        <w:autoSpaceDN w:val="0"/>
        <w:adjustRightInd w:val="0"/>
        <w:jc w:val="both"/>
      </w:pPr>
      <w:r w:rsidRPr="00C37542">
        <w:t>maksymalna intensywność zabudowy zwiększona została do 1,0;</w:t>
      </w:r>
    </w:p>
    <w:p w:rsidR="00A21C4F" w:rsidRPr="00C37542" w:rsidRDefault="00A21C4F" w:rsidP="00A21C4F">
      <w:pPr>
        <w:pStyle w:val="Akapitzlist"/>
        <w:numPr>
          <w:ilvl w:val="0"/>
          <w:numId w:val="8"/>
        </w:numPr>
        <w:autoSpaceDE w:val="0"/>
        <w:autoSpaceDN w:val="0"/>
        <w:adjustRightInd w:val="0"/>
        <w:jc w:val="both"/>
      </w:pPr>
      <w:r w:rsidRPr="00C37542">
        <w:t>minimalna powierzchnia biologicznie czynna zmniejszona do 10%.</w:t>
      </w:r>
    </w:p>
    <w:p w:rsidR="00A21C4F" w:rsidRPr="00C37542" w:rsidRDefault="00A21C4F" w:rsidP="00A21C4F">
      <w:pPr>
        <w:pStyle w:val="Akapitzlist"/>
        <w:autoSpaceDE w:val="0"/>
        <w:autoSpaceDN w:val="0"/>
        <w:adjustRightInd w:val="0"/>
        <w:ind w:left="0"/>
        <w:jc w:val="both"/>
      </w:pPr>
      <w:r w:rsidRPr="00C37542">
        <w:tab/>
        <w:t>Mając na uwadze powyższe, teren objęty projektem planu oznaczony został symbolem P/U - teren zabudowy produkcyjnej, składów i magazynów oraz zabudowy usługowej.</w:t>
      </w:r>
    </w:p>
    <w:p w:rsidR="00A21C4F" w:rsidRPr="00C37542" w:rsidRDefault="00A21C4F" w:rsidP="00A21C4F">
      <w:pPr>
        <w:pStyle w:val="Akapitzlist"/>
        <w:autoSpaceDE w:val="0"/>
        <w:autoSpaceDN w:val="0"/>
        <w:adjustRightInd w:val="0"/>
        <w:ind w:left="0"/>
        <w:jc w:val="both"/>
      </w:pPr>
      <w:r w:rsidRPr="00C37542">
        <w:tab/>
        <w:t>Od północy teren ten przylega do drogi krajowej Nr 74, od wschodu do drogi gminnej, od południa i zachodu do terenów zabudowy mieszkaniowej oraz terenów niezabudowanych. Obsługę komunikacyjną stanowić będzie droga gminna istniejącym zjazdem publicznym.</w:t>
      </w:r>
    </w:p>
    <w:p w:rsidR="00A21C4F" w:rsidRPr="00C37542" w:rsidRDefault="00A21C4F" w:rsidP="00A21C4F">
      <w:pPr>
        <w:pStyle w:val="Akapitzlist"/>
        <w:autoSpaceDE w:val="0"/>
        <w:autoSpaceDN w:val="0"/>
        <w:adjustRightInd w:val="0"/>
        <w:ind w:left="0"/>
        <w:jc w:val="both"/>
      </w:pPr>
      <w:r w:rsidRPr="00C37542">
        <w:tab/>
        <w:t xml:space="preserve">Generalnie teren nie posiada naturalnych cech przyrodniczych, jest on przekształcony przez działalność człowieka. Dotychczas teren był wykorzystywany na cele działalności wytwórczej oraz skład materiałów budowlanych. Działalność ta na chwilę obecną została zaniechana. </w:t>
      </w:r>
    </w:p>
    <w:p w:rsidR="00125716" w:rsidRPr="00C37542" w:rsidRDefault="005379E1" w:rsidP="00125716">
      <w:pPr>
        <w:ind w:firstLine="426"/>
        <w:jc w:val="both"/>
      </w:pPr>
      <w:r w:rsidRPr="00C37542">
        <w:tab/>
      </w:r>
      <w:r w:rsidR="00125716" w:rsidRPr="00C37542">
        <w:t xml:space="preserve">Teren zmiany planu położony jest w strefie krajobrazowej "C" </w:t>
      </w:r>
      <w:proofErr w:type="spellStart"/>
      <w:r w:rsidR="00125716" w:rsidRPr="00C37542">
        <w:t>Cisowsko-Orłowińskiego</w:t>
      </w:r>
      <w:proofErr w:type="spellEnd"/>
      <w:r w:rsidR="00125716" w:rsidRPr="00C37542">
        <w:t xml:space="preserve"> Obszaru Chronionego Krajobrazu położonym na otulinie </w:t>
      </w:r>
      <w:proofErr w:type="spellStart"/>
      <w:r w:rsidR="00125716" w:rsidRPr="00C37542">
        <w:t>Cisowko-Orłowińskiego</w:t>
      </w:r>
      <w:proofErr w:type="spellEnd"/>
      <w:r w:rsidR="00125716" w:rsidRPr="00C37542">
        <w:t xml:space="preserve"> Parku Krajobrazowego, w którym zasady ochrony reguluje uchwała Nr XLIX/878/14 Sejmiku Województwa Świętokrzyskiego z dnia 13 listopada 2014 r. w sprawie </w:t>
      </w:r>
      <w:proofErr w:type="spellStart"/>
      <w:r w:rsidR="00125716" w:rsidRPr="00C37542">
        <w:t>Cisowsko-Orłowińskiego</w:t>
      </w:r>
      <w:proofErr w:type="spellEnd"/>
      <w:r w:rsidR="00125716" w:rsidRPr="00C37542">
        <w:t xml:space="preserve"> Obszaru Chronionego Krajobrazu (Dz. Urz. Woj. </w:t>
      </w:r>
      <w:proofErr w:type="spellStart"/>
      <w:r w:rsidR="00125716" w:rsidRPr="00C37542">
        <w:t>Święt</w:t>
      </w:r>
      <w:proofErr w:type="spellEnd"/>
      <w:r w:rsidR="00125716" w:rsidRPr="00C37542">
        <w:t xml:space="preserve">. z 2014 r. poz. 3152). </w:t>
      </w:r>
    </w:p>
    <w:p w:rsidR="00125716" w:rsidRPr="00C37542" w:rsidRDefault="00125716" w:rsidP="00125716">
      <w:pPr>
        <w:ind w:firstLine="426"/>
        <w:jc w:val="both"/>
      </w:pPr>
      <w:r w:rsidRPr="00C37542">
        <w:tab/>
        <w:t xml:space="preserve">Analiza zagospodarowania w stosunku do zasad ochrony obowiązujących w obszarze chronionego krajobrazu wykazała, że ustalenia projektu zmiany planu nie będą powodować znacząco negatywnego wpływu na ochronę przyrody obszaru chronionego, ponieważ w strefie krajobrazowej "C" nie ustalone zostały zakazy co do sposobu i możliwości zagospodarowania terenu. Poza tym teren, na skutek dotychczasowego zagospodarowania utracił naturalne cechy i został przekształcony przez działalność człowieka. </w:t>
      </w:r>
    </w:p>
    <w:p w:rsidR="00A21C4F" w:rsidRPr="00C37542" w:rsidRDefault="00A21C4F" w:rsidP="00A21C4F">
      <w:pPr>
        <w:ind w:firstLine="708"/>
        <w:jc w:val="both"/>
      </w:pPr>
      <w:r w:rsidRPr="00C37542">
        <w:lastRenderedPageBreak/>
        <w:t xml:space="preserve">Teren położony jest poza obszarami Natura 2000. Najbliższym takim obszarem jest obszar Natura 2000 jakim Dolina Warkocza PLH260021 oddalony ok. 700 m w kierunku południowo-wschodnim. </w:t>
      </w:r>
    </w:p>
    <w:p w:rsidR="00125716" w:rsidRPr="00C37542" w:rsidRDefault="00125716" w:rsidP="00125716">
      <w:pPr>
        <w:ind w:firstLine="360"/>
        <w:jc w:val="both"/>
        <w:rPr>
          <w:snapToGrid w:val="0"/>
        </w:rPr>
      </w:pPr>
      <w:r w:rsidRPr="00C37542">
        <w:tab/>
        <w:t>Przewidziany</w:t>
      </w:r>
      <w:r w:rsidRPr="00C37542">
        <w:rPr>
          <w:snapToGrid w:val="0"/>
        </w:rPr>
        <w:t xml:space="preserve"> sposób zagospodarowania terenu przyczyni się do zmian w środowisku przyrodniczym analizowanego obszaru, ponieważ nowe zainwestowanie będzie powodować w nim większe lub mniejsze zmiany, których całkowicie nie da się wyeliminować.                 W związku, z tym w ich zagospodarowaniu należy uwzględniać działania minimalizujące negatywny wpływ planowanych form zabudowy na środowisko. Realizacja nowych obiektów budowlanych winna być zgodna z wytycznymi zawartymi w projekcie zmiany planu oraz przepisami odrębnymi. </w:t>
      </w:r>
    </w:p>
    <w:p w:rsidR="00A21C4F" w:rsidRPr="00C37542" w:rsidRDefault="00125716" w:rsidP="00A21C4F">
      <w:pPr>
        <w:jc w:val="both"/>
        <w:rPr>
          <w:lang w:eastAsia="ar-SA"/>
        </w:rPr>
      </w:pPr>
      <w:r w:rsidRPr="00C37542">
        <w:tab/>
      </w:r>
      <w:r w:rsidR="00A21C4F" w:rsidRPr="00C37542">
        <w:t xml:space="preserve">Przeprowadzona analiza planowanego zagospodarowania wykazała, że nie będzie ono negatywnie oddziaływać na </w:t>
      </w:r>
      <w:proofErr w:type="spellStart"/>
      <w:r w:rsidR="00A21C4F" w:rsidRPr="00C37542">
        <w:t>Podkielecki</w:t>
      </w:r>
      <w:proofErr w:type="spellEnd"/>
      <w:r w:rsidR="00A21C4F" w:rsidRPr="00C37542">
        <w:t xml:space="preserve"> Obszar Chronionego Krajobrazu, stanowiącym formę ochrony przyrody, o której mowa w art. 6 ust. 1 </w:t>
      </w:r>
      <w:proofErr w:type="spellStart"/>
      <w:r w:rsidR="00A21C4F" w:rsidRPr="00C37542">
        <w:t>pkt</w:t>
      </w:r>
      <w:proofErr w:type="spellEnd"/>
      <w:r w:rsidR="00A21C4F" w:rsidRPr="00C37542">
        <w:t xml:space="preserve"> 4 ustawy ochronie przyrody oraz na środowisko, co zostało wykazane w dalszej części niniejszej dokumentacji. </w:t>
      </w:r>
    </w:p>
    <w:p w:rsidR="00A21C4F" w:rsidRPr="00C37542" w:rsidRDefault="00A21C4F" w:rsidP="00A21C4F">
      <w:pPr>
        <w:jc w:val="both"/>
      </w:pPr>
      <w:r w:rsidRPr="00C37542">
        <w:tab/>
        <w:t>W granicach obszaru objętego projektem zmiany planu nie występują:</w:t>
      </w:r>
    </w:p>
    <w:p w:rsidR="00A21C4F" w:rsidRPr="00C37542" w:rsidRDefault="00A21C4F" w:rsidP="00A21C4F">
      <w:pPr>
        <w:pStyle w:val="Akapitzlist"/>
        <w:numPr>
          <w:ilvl w:val="0"/>
          <w:numId w:val="5"/>
        </w:numPr>
        <w:contextualSpacing/>
        <w:jc w:val="both"/>
        <w:rPr>
          <w:lang w:eastAsia="ar-SA"/>
        </w:rPr>
      </w:pPr>
      <w:r w:rsidRPr="00C37542">
        <w:rPr>
          <w:lang w:eastAsia="ar-SA"/>
        </w:rPr>
        <w:t>tereny i obszary górnicze,</w:t>
      </w:r>
    </w:p>
    <w:p w:rsidR="00A21C4F" w:rsidRPr="00C37542" w:rsidRDefault="00A21C4F" w:rsidP="00A21C4F">
      <w:pPr>
        <w:pStyle w:val="Akapitzlist"/>
        <w:numPr>
          <w:ilvl w:val="0"/>
          <w:numId w:val="5"/>
        </w:numPr>
        <w:contextualSpacing/>
        <w:jc w:val="both"/>
        <w:rPr>
          <w:lang w:eastAsia="ar-SA"/>
        </w:rPr>
      </w:pPr>
      <w:r w:rsidRPr="00C37542">
        <w:rPr>
          <w:lang w:eastAsia="ar-SA"/>
        </w:rPr>
        <w:t>udokumentowane złoża surowców mineralnych,</w:t>
      </w:r>
    </w:p>
    <w:p w:rsidR="00A21C4F" w:rsidRPr="00C37542" w:rsidRDefault="00A21C4F" w:rsidP="00A21C4F">
      <w:pPr>
        <w:pStyle w:val="Akapitzlist"/>
        <w:numPr>
          <w:ilvl w:val="0"/>
          <w:numId w:val="5"/>
        </w:numPr>
        <w:contextualSpacing/>
        <w:jc w:val="both"/>
        <w:rPr>
          <w:lang w:eastAsia="ar-SA"/>
        </w:rPr>
      </w:pPr>
      <w:r w:rsidRPr="00C37542">
        <w:rPr>
          <w:lang w:eastAsia="ar-SA"/>
        </w:rPr>
        <w:t>tereny zagrożone ruchami masowymi,</w:t>
      </w:r>
    </w:p>
    <w:p w:rsidR="00A21C4F" w:rsidRPr="00C37542" w:rsidRDefault="00A21C4F" w:rsidP="00A21C4F">
      <w:pPr>
        <w:pStyle w:val="Akapitzlist"/>
        <w:numPr>
          <w:ilvl w:val="0"/>
          <w:numId w:val="5"/>
        </w:numPr>
        <w:contextualSpacing/>
        <w:jc w:val="both"/>
        <w:rPr>
          <w:lang w:eastAsia="ar-SA"/>
        </w:rPr>
      </w:pPr>
      <w:r w:rsidRPr="00C37542">
        <w:rPr>
          <w:lang w:eastAsia="ar-SA"/>
        </w:rPr>
        <w:t>obszary szczególnego zagrożenia powodzią ustalone w oparciu o Prawo wodne</w:t>
      </w:r>
    </w:p>
    <w:p w:rsidR="00A21C4F" w:rsidRPr="00C37542" w:rsidRDefault="00A21C4F" w:rsidP="00A21C4F">
      <w:pPr>
        <w:pStyle w:val="Akapitzlist"/>
        <w:numPr>
          <w:ilvl w:val="0"/>
          <w:numId w:val="5"/>
        </w:numPr>
        <w:contextualSpacing/>
        <w:jc w:val="both"/>
        <w:rPr>
          <w:lang w:eastAsia="ar-SA"/>
        </w:rPr>
      </w:pPr>
      <w:r w:rsidRPr="00C37542">
        <w:rPr>
          <w:lang w:eastAsia="ar-SA"/>
        </w:rPr>
        <w:t xml:space="preserve">obiekty i obszary wpisane do rejestru zabytków oraz ujęte w ewidencji zabytków.  </w:t>
      </w:r>
    </w:p>
    <w:p w:rsidR="00125716" w:rsidRPr="00C37542" w:rsidRDefault="00125716" w:rsidP="00A21C4F">
      <w:pPr>
        <w:jc w:val="both"/>
      </w:pPr>
      <w:r w:rsidRPr="00C37542">
        <w:tab/>
        <w:t>Zmiany wywołane działalnością człowieka zostaną ograniczone do minimum, poprzez rygorystyczne przestrzeganie przepisów prawnych z zakresu ochrony środowiska i ochrony przyrody oraz poprzez przestrzeganie zaleceń zawartych w prognozie oddziaływania na środowisko projektu zmiany planu. Pozwoli to na zachowanie zasady zrównoważonego rozwoju.</w:t>
      </w:r>
    </w:p>
    <w:p w:rsidR="005379E1" w:rsidRPr="00C37542" w:rsidRDefault="005379E1" w:rsidP="00125716">
      <w:pPr>
        <w:ind w:firstLine="426"/>
        <w:jc w:val="both"/>
      </w:pPr>
      <w:r w:rsidRPr="00C37542">
        <w:tab/>
        <w:t xml:space="preserve">Teren zabudowy wyznaczony został poza terenami dolin cieków wodnych oraz poza terenami bagiennymi i podmokłymi. </w:t>
      </w:r>
    </w:p>
    <w:p w:rsidR="005379E1" w:rsidRPr="00C37542" w:rsidRDefault="005379E1" w:rsidP="005379E1">
      <w:pPr>
        <w:ind w:firstLine="360"/>
        <w:jc w:val="both"/>
        <w:rPr>
          <w:snapToGrid w:val="0"/>
        </w:rPr>
      </w:pPr>
      <w:r w:rsidRPr="00C37542">
        <w:tab/>
        <w:t>Przewidziany</w:t>
      </w:r>
      <w:r w:rsidRPr="00C37542">
        <w:rPr>
          <w:snapToGrid w:val="0"/>
        </w:rPr>
        <w:t xml:space="preserve"> sposób zagospodarowania terenu przyczyni się do zmian w środowisku przyrodniczym analizowanego obszaru, ponieważ nowe zainwestowanie będzie powodować w nim większe lub mniejsze zmiany, których całkowicie nie da się wyeliminować.                 W związku, z tym w ich zagospodarowaniu należy uwzględniać działania minimalizujące negatywny wpływ planowanych form zabudowy na środowisko. Realizacja nowych obiektów budowlanych winna być zgodna z wytycznymi zawartymi w projekcie zmiany planu oraz przepisami odrębnymi . </w:t>
      </w:r>
    </w:p>
    <w:p w:rsidR="005379E1" w:rsidRPr="00C37542" w:rsidRDefault="005379E1" w:rsidP="00125716">
      <w:pPr>
        <w:jc w:val="both"/>
      </w:pPr>
      <w:r w:rsidRPr="00C37542">
        <w:tab/>
        <w:t>W przedłożonym do zatwierdzenia projekcie zmiany planu zagospodarowania przestrzennego uwzględniono:</w:t>
      </w:r>
    </w:p>
    <w:p w:rsidR="005379E1" w:rsidRPr="00C37542" w:rsidRDefault="005379E1" w:rsidP="005379E1">
      <w:pPr>
        <w:numPr>
          <w:ilvl w:val="0"/>
          <w:numId w:val="1"/>
        </w:numPr>
        <w:ind w:left="284" w:hanging="284"/>
        <w:jc w:val="both"/>
      </w:pPr>
      <w:r w:rsidRPr="00C37542">
        <w:t xml:space="preserve">wymagania ładu przestrzennego, w tym urbanistyki i architektury poprzez ujednolicenie rozwiązań architektonicznych budynków, ogrodzeń oraz obiektów małej architektury, </w:t>
      </w:r>
      <w:r w:rsidR="003B6E68" w:rsidRPr="00C37542">
        <w:t xml:space="preserve">      </w:t>
      </w:r>
      <w:r w:rsidRPr="00C37542">
        <w:t>w taki sposób aby powstające elementy nie były dysharmonijne w otaczającej przestrzeni, przez co nie pogorszą odbioru wizualnego przestrzeni.</w:t>
      </w:r>
    </w:p>
    <w:p w:rsidR="005379E1" w:rsidRPr="00C37542" w:rsidRDefault="005379E1" w:rsidP="005379E1">
      <w:pPr>
        <w:numPr>
          <w:ilvl w:val="0"/>
          <w:numId w:val="1"/>
        </w:numPr>
        <w:ind w:left="284" w:hanging="284"/>
        <w:jc w:val="both"/>
      </w:pPr>
      <w:r w:rsidRPr="00C37542">
        <w:t>walory architektoniczne i krajobrazowe, poprzez sprecyzowanie w ustaleniach szczegółowych rozwiązań architektonicznych planowanej zabudowy, uwzględniające cechy regionalne i ochrony krajobrazu kulturowego,</w:t>
      </w:r>
    </w:p>
    <w:p w:rsidR="005379E1" w:rsidRPr="00C37542" w:rsidRDefault="005379E1" w:rsidP="005379E1">
      <w:pPr>
        <w:numPr>
          <w:ilvl w:val="0"/>
          <w:numId w:val="1"/>
        </w:numPr>
        <w:ind w:left="284" w:hanging="284"/>
        <w:jc w:val="both"/>
      </w:pPr>
      <w:r w:rsidRPr="00C37542">
        <w:t xml:space="preserve">ochronę środowiska, w tym gospodarowanie wodami i ochronę gruntów rolnych, poprzez ustalenie katalogu zakazów i nakazów dla planowanego zainwestowania uwzględniając specyfikę terenu objętego zmianą planu na tle systemu ochrony przyrody województwa świętokrzyskiego. Teren objęty zmianą planu nie wymagał uzyskania zgody na zmianę przeznaczenia gruntów rolnych i leśnych na cele nierolnicze i nieleśne. </w:t>
      </w:r>
    </w:p>
    <w:p w:rsidR="005379E1" w:rsidRPr="00C37542" w:rsidRDefault="005379E1" w:rsidP="005379E1">
      <w:pPr>
        <w:numPr>
          <w:ilvl w:val="0"/>
          <w:numId w:val="1"/>
        </w:numPr>
        <w:ind w:left="284" w:hanging="284"/>
        <w:jc w:val="both"/>
      </w:pPr>
      <w:r w:rsidRPr="00C37542">
        <w:t>wymagania ochrony zdrowia oraz bezpieczeństwa ludzi i mienia, a także potrzeby osób niepełnosprawnych poprzez zastosowanie następujących ustaleń:</w:t>
      </w:r>
    </w:p>
    <w:p w:rsidR="005379E1" w:rsidRPr="00C37542" w:rsidRDefault="005379E1" w:rsidP="005379E1">
      <w:pPr>
        <w:pStyle w:val="Tekstpodstawowy"/>
        <w:numPr>
          <w:ilvl w:val="0"/>
          <w:numId w:val="2"/>
        </w:numPr>
        <w:ind w:left="709" w:hanging="283"/>
      </w:pPr>
      <w:r w:rsidRPr="00C37542">
        <w:lastRenderedPageBreak/>
        <w:t>pokrycie zapotrzebowania w wodę dla celów przeciwpożarowych, zgodnie                   z przepisami odrębnymi, przez istniejący i rozbudowywany system zaopatrzenia           w wodę,</w:t>
      </w:r>
    </w:p>
    <w:p w:rsidR="005379E1" w:rsidRPr="00C37542" w:rsidRDefault="005379E1" w:rsidP="005379E1">
      <w:pPr>
        <w:pStyle w:val="Tekstpodstawowy"/>
        <w:numPr>
          <w:ilvl w:val="0"/>
          <w:numId w:val="2"/>
        </w:numPr>
        <w:ind w:left="709" w:hanging="283"/>
      </w:pPr>
      <w:r w:rsidRPr="00C37542">
        <w:t>wyposażenie projektowanych sieci wodociągowych w hydranty zewnętrzne, zgodnie                   z przepisami i normami obowiązującymi w zakresie ochrony przeciwpożarowej,</w:t>
      </w:r>
    </w:p>
    <w:p w:rsidR="005379E1" w:rsidRPr="00C37542" w:rsidRDefault="005379E1" w:rsidP="005379E1">
      <w:pPr>
        <w:pStyle w:val="Tekstpodstawowy"/>
        <w:numPr>
          <w:ilvl w:val="0"/>
          <w:numId w:val="2"/>
        </w:numPr>
        <w:ind w:left="709" w:hanging="283"/>
      </w:pPr>
      <w:r w:rsidRPr="00C37542">
        <w:t xml:space="preserve">teren objęty ustaleniami niniejszej zmiany planu położony jest w zasięgu systemu alarmowania dźwiękowego.    </w:t>
      </w:r>
    </w:p>
    <w:p w:rsidR="005379E1" w:rsidRPr="00C37542" w:rsidRDefault="005379E1" w:rsidP="005379E1">
      <w:pPr>
        <w:numPr>
          <w:ilvl w:val="0"/>
          <w:numId w:val="1"/>
        </w:numPr>
        <w:ind w:left="284" w:hanging="284"/>
        <w:jc w:val="both"/>
      </w:pPr>
      <w:r w:rsidRPr="00C37542">
        <w:t>walory ekonomiczne przestrzeni, poprzez wyznaczenie terenu zabudowy w bezpośrednim sąsiedztwie terenów już zainwestowanych. Teren objęty zmianą planu położony jest          w zasięgu sieci infrastruktury technicznej (wodociągowej, energetycznej) oraz komunikacyjnej. Realizacja ustaleń zmiany planu, nie będzie wymagać poniesienia kosztów z budżetu gminy na realizację zadań własnych gminy wynikających z ustawy         o samorządzie gminnym,</w:t>
      </w:r>
    </w:p>
    <w:p w:rsidR="005379E1" w:rsidRPr="00C37542" w:rsidRDefault="005379E1" w:rsidP="005379E1">
      <w:pPr>
        <w:numPr>
          <w:ilvl w:val="0"/>
          <w:numId w:val="1"/>
        </w:numPr>
        <w:ind w:left="284" w:hanging="284"/>
        <w:jc w:val="both"/>
      </w:pPr>
      <w:r w:rsidRPr="00C37542">
        <w:t xml:space="preserve">prawo własności, poprzez wyznaczenie terenów zabudowy umożliwiające zagospodarowanie działek na wnioskowany cel,      </w:t>
      </w:r>
    </w:p>
    <w:p w:rsidR="005379E1" w:rsidRPr="00C37542" w:rsidRDefault="005379E1" w:rsidP="005379E1">
      <w:pPr>
        <w:numPr>
          <w:ilvl w:val="0"/>
          <w:numId w:val="1"/>
        </w:numPr>
        <w:ind w:left="284" w:hanging="284"/>
        <w:jc w:val="both"/>
      </w:pPr>
      <w:r w:rsidRPr="00C37542">
        <w:t xml:space="preserve">w trakcie procedury planistycznej zapewniono udział społeczeństwa w pracach nad zmianą planu zagospodarowania przestrzennego poprzez informowanie społeczeństwa                    o przystąpieniu do sporządzenia zmiany planu oraz o wyłożeniach do publicznego wglądu w sposób zgodny z wymogami ustawy o planowaniu i zagospodarowaniu przestrzennym. Obwieszczenia o czynnościach planistycznych publikowane były również w Biuletynie Informacji Publicznej prowadzonym na stronie internetowej Gminy Górno. Poza tym biorący udział w procedurze planistycznej mieli nieograniczony dostęp do dokumentacji planistycznej, w tym do opinii i uzgodnień właściwych organów delegowanych ustawą        o planowaniu i zagospodarowaniu przestrzennym, </w:t>
      </w:r>
    </w:p>
    <w:p w:rsidR="005379E1" w:rsidRPr="00C37542" w:rsidRDefault="005379E1" w:rsidP="00125716">
      <w:pPr>
        <w:numPr>
          <w:ilvl w:val="0"/>
          <w:numId w:val="1"/>
        </w:numPr>
        <w:ind w:left="284" w:hanging="284"/>
        <w:jc w:val="both"/>
      </w:pPr>
      <w:r w:rsidRPr="00C37542">
        <w:t>zachowanie jawności i przejrzystości procedur planistycznych, gdyż do dokumentacji planistycznej oraz zgromadzonych opiniach i uzgodnieniach oraz opracowań planistycznych sporządzanych na potrzeby planu społeczeństwo miało zapewniony dostęp i wgląd do nich.</w:t>
      </w:r>
    </w:p>
    <w:p w:rsidR="005379E1" w:rsidRPr="00C37542" w:rsidRDefault="005379E1" w:rsidP="005379E1">
      <w:pPr>
        <w:ind w:firstLine="708"/>
        <w:jc w:val="both"/>
      </w:pPr>
      <w:r w:rsidRPr="00C37542">
        <w:t>Nie było wymogu określenia i uwzględnienia:</w:t>
      </w:r>
    </w:p>
    <w:p w:rsidR="005379E1" w:rsidRPr="00C37542" w:rsidRDefault="005379E1" w:rsidP="005379E1">
      <w:pPr>
        <w:numPr>
          <w:ilvl w:val="0"/>
          <w:numId w:val="3"/>
        </w:numPr>
        <w:ind w:left="284" w:hanging="284"/>
        <w:jc w:val="both"/>
      </w:pPr>
      <w:r w:rsidRPr="00C37542">
        <w:t>wymagań ochrony dziedzictwa kulturowego i zabytków oraz dóbr kultury współczesnej, ponieważ w granicach opracowania planu obiekty takie nie występują,</w:t>
      </w:r>
    </w:p>
    <w:p w:rsidR="005379E1" w:rsidRPr="00C37542" w:rsidRDefault="005379E1" w:rsidP="005379E1">
      <w:pPr>
        <w:numPr>
          <w:ilvl w:val="0"/>
          <w:numId w:val="3"/>
        </w:numPr>
        <w:ind w:left="284" w:hanging="284"/>
        <w:jc w:val="both"/>
      </w:pPr>
      <w:r w:rsidRPr="00C37542">
        <w:t xml:space="preserve">potrzeb obronności i bezpieczeństwa państwa, ponieważ teren położony jest poza strefą przygraniczną państwa oraz poza wojskowymi terenami zamkniętymi,  </w:t>
      </w:r>
    </w:p>
    <w:p w:rsidR="005379E1" w:rsidRPr="00C37542" w:rsidRDefault="005379E1" w:rsidP="005379E1">
      <w:pPr>
        <w:numPr>
          <w:ilvl w:val="0"/>
          <w:numId w:val="3"/>
        </w:numPr>
        <w:ind w:left="284" w:hanging="284"/>
        <w:jc w:val="both"/>
      </w:pPr>
      <w:r w:rsidRPr="00C37542">
        <w:t>potrzeb interesu publicznego, ponieważ teren przylega bezpośrednio do dróg publicznych gwarantujących obsługę komunikacyjną,</w:t>
      </w:r>
    </w:p>
    <w:p w:rsidR="005379E1" w:rsidRPr="00C37542" w:rsidRDefault="005379E1" w:rsidP="005379E1">
      <w:pPr>
        <w:numPr>
          <w:ilvl w:val="0"/>
          <w:numId w:val="3"/>
        </w:numPr>
        <w:ind w:left="284" w:hanging="284"/>
        <w:jc w:val="both"/>
      </w:pPr>
      <w:r w:rsidRPr="00C37542">
        <w:t>wyważenie interesu publicznego i interesu prywatnego, ponieważ teren objęty zmianą planu stanowi w całości teren własności osoby fizycznej, w ramach którego nie występują potrzeby realizacji inwestycji celu publicznego,</w:t>
      </w:r>
    </w:p>
    <w:p w:rsidR="005379E1" w:rsidRPr="00C37542" w:rsidRDefault="005379E1" w:rsidP="005379E1">
      <w:pPr>
        <w:numPr>
          <w:ilvl w:val="0"/>
          <w:numId w:val="3"/>
        </w:numPr>
        <w:ind w:left="284" w:hanging="284"/>
        <w:jc w:val="both"/>
      </w:pPr>
      <w:r w:rsidRPr="00C37542">
        <w:t>wymagań wynikających z potrzeb kształtowania przestrzeni publicznych,</w:t>
      </w:r>
    </w:p>
    <w:p w:rsidR="005379E1" w:rsidRPr="00C37542" w:rsidRDefault="005379E1" w:rsidP="005379E1">
      <w:pPr>
        <w:numPr>
          <w:ilvl w:val="0"/>
          <w:numId w:val="3"/>
        </w:numPr>
        <w:ind w:left="284" w:hanging="284"/>
        <w:jc w:val="both"/>
      </w:pPr>
      <w:r w:rsidRPr="00C37542">
        <w:rPr>
          <w:bCs/>
        </w:rPr>
        <w:t>terenów górniczych, a także obszarów szczególnego zagrożenia powodzią, obszarów osuwania się mas ziemnych, krajobrazów priorytetowych określonych w audycie krajobrazowym oraz w planach zagospodarowania przestrzennego województwa</w:t>
      </w:r>
      <w:r w:rsidRPr="00C37542">
        <w:t>.</w:t>
      </w:r>
    </w:p>
    <w:p w:rsidR="005379E1" w:rsidRPr="00C37542" w:rsidRDefault="005379E1" w:rsidP="005379E1">
      <w:pPr>
        <w:ind w:firstLine="708"/>
        <w:jc w:val="both"/>
      </w:pPr>
      <w:r w:rsidRPr="00C37542">
        <w:t xml:space="preserve">Zabudowa została tak zaplanowana, aby zachować warunki wynikające z ładu przestrzennego, efektywnego gospodarowania przestrzenią oraz wykorzystania walorów ekonomicznych przestrzeni, gdyż struktury przestrzenne zostały tak ukształtowane aby dążyć do zminimalizowania transportochłonności (wyznaczone tereny zabudowy posiadają dostęp do transportu publicznego), nowa zabudowa umożliwia mieszkańcom maksymalne wykorzystanie transportu publicznego. Zapewnienie rozwiązań przestrzennych, ułatwiające przemieszczanie się pieszych i rowerzystów nie było wymagane, ponieważ teren zmiany planu położony jest poza pasem dróg publicznych, w którym zlokalizowane są pasy jezdne, </w:t>
      </w:r>
      <w:r w:rsidRPr="00C37542">
        <w:lastRenderedPageBreak/>
        <w:t xml:space="preserve">chodnik, co daje możliwość poruszania się rowerzystom. Zabudowa została zaplanowana        w sąsiedztwie i jako kontynuacja istniejącej zabudowy. </w:t>
      </w:r>
    </w:p>
    <w:p w:rsidR="005379E1" w:rsidRPr="00C37542" w:rsidRDefault="005379E1" w:rsidP="005379E1">
      <w:pPr>
        <w:ind w:firstLine="708"/>
        <w:jc w:val="both"/>
      </w:pPr>
      <w:r w:rsidRPr="00C37542">
        <w:t xml:space="preserve">Rozwiązania planistyczne uwzględniały zasadę wyznaczania terenów budowlanych jako uzupełnienie zabudowy w ukształtowanej tkance osadniczej a nowe tereny budowlane stanowią kontynuację istniejących terenów budowlanych, które wyposażone są                       w infrastrukturę techniczną i posiadają bezpośredni dostęp do drogi publicznej.     </w:t>
      </w:r>
    </w:p>
    <w:p w:rsidR="005379E1" w:rsidRPr="00C37542" w:rsidRDefault="005379E1" w:rsidP="005379E1">
      <w:pPr>
        <w:ind w:firstLine="708"/>
        <w:jc w:val="both"/>
      </w:pPr>
      <w:r w:rsidRPr="00C37542">
        <w:t xml:space="preserve">Ustalenia dotyczące obronności i bezpieczeństwa państwa nie wymagały uwzględnienia, ponieważ na terenie objętym zmianą planu nie występują obiekty wojskowe,     a teren oddalony jest od granic państwa kilkaset kilometrów.  </w:t>
      </w:r>
    </w:p>
    <w:p w:rsidR="005379E1" w:rsidRPr="00C37542" w:rsidRDefault="005379E1" w:rsidP="005379E1">
      <w:pPr>
        <w:ind w:firstLine="708"/>
        <w:jc w:val="both"/>
      </w:pPr>
      <w:r w:rsidRPr="00C37542">
        <w:t>Gmina Górno posiada analizę, o której mowa w art. 32 ust. 1 ustawy o planowaniu       i zagospodarowaniu przestrzennym. Analiza ta została sporządzona i zatwierdzona uchwałą Nr XX/196/2016 Rady Gminy Górno z dnia 29 czerwca 2016 r. Ustalenia projektu zmiany planu nie kolidują z wnioskami wynikającymi z tej analizy.</w:t>
      </w:r>
    </w:p>
    <w:p w:rsidR="005379E1" w:rsidRPr="00C37542" w:rsidRDefault="005379E1" w:rsidP="005379E1">
      <w:pPr>
        <w:ind w:firstLine="708"/>
        <w:jc w:val="both"/>
      </w:pPr>
      <w:r w:rsidRPr="00C37542">
        <w:t xml:space="preserve">Ustalenia zmiany miejscowego planu zagospodarowania przestrzennego nie będą generować wydatków z budżetu gminy na realizację uzbrojenia technicznego, które należą do zadań własnych gminy, oraz zapewnią wpływy z podatków od nieruchomości oraz renty planistycznej.  </w:t>
      </w:r>
    </w:p>
    <w:p w:rsidR="005379E1" w:rsidRPr="00C37542" w:rsidRDefault="005379E1" w:rsidP="005379E1">
      <w:pPr>
        <w:ind w:firstLine="708"/>
        <w:jc w:val="both"/>
      </w:pPr>
      <w:r w:rsidRPr="00C37542">
        <w:t>Zmiana miejscowego planu zagospodarowania przestrzennego sporządzona została na mapie pozyskanej z zasobów geodezyjnych i kartograficznych Starostwa Powiatowego          w Kielcach w skali 1: 1000 co spełnia wymogi art. 16 ust. 1 ustawy z dnia 27 marca 2003 r.    o planowaniu i zagospodarowaniu przestrzennym (</w:t>
      </w:r>
      <w:proofErr w:type="spellStart"/>
      <w:r w:rsidR="00A21C4F" w:rsidRPr="00C37542">
        <w:t>t.j</w:t>
      </w:r>
      <w:proofErr w:type="spellEnd"/>
      <w:r w:rsidR="00A21C4F" w:rsidRPr="00C37542">
        <w:t xml:space="preserve">. </w:t>
      </w:r>
      <w:r w:rsidRPr="00C37542">
        <w:t>Dz. U. z 202</w:t>
      </w:r>
      <w:r w:rsidR="00A21C4F" w:rsidRPr="00C37542">
        <w:t>3</w:t>
      </w:r>
      <w:r w:rsidRPr="00C37542">
        <w:t xml:space="preserve"> r. poz. </w:t>
      </w:r>
      <w:r w:rsidR="00A21C4F" w:rsidRPr="00C37542">
        <w:t>977</w:t>
      </w:r>
      <w:r w:rsidRPr="00C37542">
        <w:t xml:space="preserve">). </w:t>
      </w:r>
    </w:p>
    <w:p w:rsidR="005379E1" w:rsidRPr="00C37542" w:rsidRDefault="005379E1" w:rsidP="005379E1">
      <w:pPr>
        <w:ind w:firstLine="708"/>
        <w:jc w:val="both"/>
      </w:pPr>
      <w:r w:rsidRPr="00C37542">
        <w:t xml:space="preserve">Zmiana planu miejscowego nie narusza ustaleń Studium uwarunkowań i kierunków zagospodarowania przestrzennego gminy Górno zatwierdzonego uchwała Nr XXX/303/2021 Rady Gminy Górno z dnia 19 kwietnia 2021 r.  </w:t>
      </w:r>
    </w:p>
    <w:p w:rsidR="005379E1" w:rsidRPr="00C37542" w:rsidRDefault="005379E1" w:rsidP="005379E1"/>
    <w:p w:rsidR="00AB7AE4" w:rsidRPr="00C37542" w:rsidRDefault="00AB7AE4" w:rsidP="005379E1"/>
    <w:sectPr w:rsidR="00AB7AE4" w:rsidRPr="00C37542" w:rsidSect="00E33EDA">
      <w:footerReference w:type="default" r:id="rId7"/>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819" w:rsidRDefault="00C90819" w:rsidP="00B9579D">
      <w:r>
        <w:separator/>
      </w:r>
    </w:p>
  </w:endnote>
  <w:endnote w:type="continuationSeparator" w:id="0">
    <w:p w:rsidR="00C90819" w:rsidRDefault="00C90819" w:rsidP="00B95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5D" w:rsidRDefault="005834EC">
    <w:pPr>
      <w:pStyle w:val="Stopka"/>
      <w:jc w:val="right"/>
    </w:pPr>
    <w:r>
      <w:fldChar w:fldCharType="begin"/>
    </w:r>
    <w:r w:rsidR="00B27AA7">
      <w:instrText xml:space="preserve"> PAGE   \* MERGEFORMAT </w:instrText>
    </w:r>
    <w:r>
      <w:fldChar w:fldCharType="separate"/>
    </w:r>
    <w:r w:rsidR="00C37542">
      <w:rPr>
        <w:noProof/>
      </w:rPr>
      <w:t>4</w:t>
    </w:r>
    <w:r>
      <w:fldChar w:fldCharType="end"/>
    </w:r>
  </w:p>
  <w:p w:rsidR="005D0F5D" w:rsidRDefault="00C9081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819" w:rsidRDefault="00C90819" w:rsidP="00B9579D">
      <w:r>
        <w:separator/>
      </w:r>
    </w:p>
  </w:footnote>
  <w:footnote w:type="continuationSeparator" w:id="0">
    <w:p w:rsidR="00C90819" w:rsidRDefault="00C90819" w:rsidP="00B957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B5C"/>
    <w:multiLevelType w:val="hybridMultilevel"/>
    <w:tmpl w:val="B888DA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C03312"/>
    <w:multiLevelType w:val="hybridMultilevel"/>
    <w:tmpl w:val="EF588AA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
    <w:nsid w:val="2E193E76"/>
    <w:multiLevelType w:val="hybridMultilevel"/>
    <w:tmpl w:val="E0ACBA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6B44F71"/>
    <w:multiLevelType w:val="hybridMultilevel"/>
    <w:tmpl w:val="DC9E1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21316BC"/>
    <w:multiLevelType w:val="hybridMultilevel"/>
    <w:tmpl w:val="B4EE92E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655F3453"/>
    <w:multiLevelType w:val="hybridMultilevel"/>
    <w:tmpl w:val="08EA488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nsid w:val="7DFC0DDC"/>
    <w:multiLevelType w:val="hybridMultilevel"/>
    <w:tmpl w:val="2508FC2E"/>
    <w:lvl w:ilvl="0" w:tplc="167E560E">
      <w:start w:val="1"/>
      <w:numFmt w:val="decimal"/>
      <w:lvlText w:val="%1."/>
      <w:lvlJc w:val="left"/>
      <w:pPr>
        <w:tabs>
          <w:tab w:val="num" w:pos="2700"/>
        </w:tabs>
        <w:ind w:left="2700" w:hanging="360"/>
      </w:pPr>
      <w:rPr>
        <w:rFonts w:hint="default"/>
      </w:rPr>
    </w:lvl>
    <w:lvl w:ilvl="1" w:tplc="04150019">
      <w:start w:val="1"/>
      <w:numFmt w:val="decimal"/>
      <w:lvlText w:val="%2)"/>
      <w:lvlJc w:val="left"/>
      <w:pPr>
        <w:tabs>
          <w:tab w:val="num" w:pos="2629"/>
        </w:tabs>
        <w:ind w:left="2629"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7E490D3A"/>
    <w:multiLevelType w:val="singleLevel"/>
    <w:tmpl w:val="40CA1686"/>
    <w:lvl w:ilvl="0">
      <w:start w:val="1"/>
      <w:numFmt w:val="bullet"/>
      <w:pStyle w:val="pauzatab"/>
      <w:lvlText w:val="–"/>
      <w:lvlJc w:val="left"/>
      <w:pPr>
        <w:tabs>
          <w:tab w:val="num" w:pos="927"/>
        </w:tabs>
        <w:ind w:left="794" w:hanging="227"/>
      </w:pPr>
      <w:rPr>
        <w:rFonts w:ascii="Times New Roman" w:hAnsi="Times New Roman" w:hint="default"/>
      </w:rPr>
    </w:lvl>
  </w:abstractNum>
  <w:num w:numId="1">
    <w:abstractNumId w:val="1"/>
  </w:num>
  <w:num w:numId="2">
    <w:abstractNumId w:val="5"/>
  </w:num>
  <w:num w:numId="3">
    <w:abstractNumId w:val="0"/>
  </w:num>
  <w:num w:numId="4">
    <w:abstractNumId w:val="6"/>
  </w:num>
  <w:num w:numId="5">
    <w:abstractNumId w:val="2"/>
  </w:num>
  <w:num w:numId="6">
    <w:abstractNumId w:val="7"/>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EDA"/>
    <w:rsid w:val="000C7E9B"/>
    <w:rsid w:val="00125716"/>
    <w:rsid w:val="00131B6A"/>
    <w:rsid w:val="00155718"/>
    <w:rsid w:val="00161794"/>
    <w:rsid w:val="001C23EC"/>
    <w:rsid w:val="001C7A24"/>
    <w:rsid w:val="001E245F"/>
    <w:rsid w:val="00227126"/>
    <w:rsid w:val="002C397A"/>
    <w:rsid w:val="00397969"/>
    <w:rsid w:val="003A29C5"/>
    <w:rsid w:val="003B6E68"/>
    <w:rsid w:val="003E3A18"/>
    <w:rsid w:val="003E3A34"/>
    <w:rsid w:val="00406732"/>
    <w:rsid w:val="00481924"/>
    <w:rsid w:val="0048720E"/>
    <w:rsid w:val="004A7067"/>
    <w:rsid w:val="004B11DD"/>
    <w:rsid w:val="00505FAA"/>
    <w:rsid w:val="00526DD5"/>
    <w:rsid w:val="00535E82"/>
    <w:rsid w:val="005379E1"/>
    <w:rsid w:val="0054648D"/>
    <w:rsid w:val="00550B3E"/>
    <w:rsid w:val="005834EC"/>
    <w:rsid w:val="006154BB"/>
    <w:rsid w:val="006474FE"/>
    <w:rsid w:val="00675672"/>
    <w:rsid w:val="006E636C"/>
    <w:rsid w:val="00715705"/>
    <w:rsid w:val="00731BE5"/>
    <w:rsid w:val="00754C0B"/>
    <w:rsid w:val="00773C10"/>
    <w:rsid w:val="007B3052"/>
    <w:rsid w:val="007E2870"/>
    <w:rsid w:val="00821ACB"/>
    <w:rsid w:val="00822A0B"/>
    <w:rsid w:val="008240CC"/>
    <w:rsid w:val="0085384C"/>
    <w:rsid w:val="008B0256"/>
    <w:rsid w:val="00932E30"/>
    <w:rsid w:val="009505BF"/>
    <w:rsid w:val="009A543A"/>
    <w:rsid w:val="009D382E"/>
    <w:rsid w:val="009E220B"/>
    <w:rsid w:val="009E6E06"/>
    <w:rsid w:val="00A21C4F"/>
    <w:rsid w:val="00A76C52"/>
    <w:rsid w:val="00AB7AE4"/>
    <w:rsid w:val="00AC2BA3"/>
    <w:rsid w:val="00AE3B39"/>
    <w:rsid w:val="00B27AA7"/>
    <w:rsid w:val="00B426E6"/>
    <w:rsid w:val="00B51AE4"/>
    <w:rsid w:val="00B55ADA"/>
    <w:rsid w:val="00B75D8C"/>
    <w:rsid w:val="00B9579D"/>
    <w:rsid w:val="00B96E4B"/>
    <w:rsid w:val="00C37542"/>
    <w:rsid w:val="00C42B4B"/>
    <w:rsid w:val="00C75A3A"/>
    <w:rsid w:val="00C829C7"/>
    <w:rsid w:val="00C90819"/>
    <w:rsid w:val="00CA4B20"/>
    <w:rsid w:val="00CA6CA8"/>
    <w:rsid w:val="00CC356E"/>
    <w:rsid w:val="00D475BE"/>
    <w:rsid w:val="00D5661B"/>
    <w:rsid w:val="00D6039B"/>
    <w:rsid w:val="00DC545A"/>
    <w:rsid w:val="00E0657A"/>
    <w:rsid w:val="00E33EDA"/>
    <w:rsid w:val="00E43565"/>
    <w:rsid w:val="00F005D2"/>
    <w:rsid w:val="00F10236"/>
    <w:rsid w:val="00F60781"/>
    <w:rsid w:val="00F638C9"/>
    <w:rsid w:val="00F8553B"/>
    <w:rsid w:val="00FD0A31"/>
    <w:rsid w:val="00FD51AE"/>
    <w:rsid w:val="00FE3F46"/>
    <w:rsid w:val="00FF2D8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3ED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33EDA"/>
    <w:pPr>
      <w:jc w:val="both"/>
    </w:pPr>
  </w:style>
  <w:style w:type="character" w:customStyle="1" w:styleId="TekstpodstawowyZnak">
    <w:name w:val="Tekst podstawowy Znak"/>
    <w:basedOn w:val="Domylnaczcionkaakapitu"/>
    <w:link w:val="Tekstpodstawowy"/>
    <w:rsid w:val="00E33ED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33EDA"/>
    <w:pPr>
      <w:tabs>
        <w:tab w:val="center" w:pos="4536"/>
        <w:tab w:val="right" w:pos="9072"/>
      </w:tabs>
    </w:pPr>
  </w:style>
  <w:style w:type="character" w:customStyle="1" w:styleId="StopkaZnak">
    <w:name w:val="Stopka Znak"/>
    <w:basedOn w:val="Domylnaczcionkaakapitu"/>
    <w:link w:val="Stopka"/>
    <w:uiPriority w:val="99"/>
    <w:rsid w:val="00E33EDA"/>
    <w:rPr>
      <w:rFonts w:ascii="Times New Roman" w:eastAsia="Times New Roman" w:hAnsi="Times New Roman" w:cs="Times New Roman"/>
      <w:sz w:val="24"/>
      <w:szCs w:val="24"/>
      <w:lang w:eastAsia="pl-PL"/>
    </w:rPr>
  </w:style>
  <w:style w:type="character" w:styleId="Pogrubienie">
    <w:name w:val="Strong"/>
    <w:qFormat/>
    <w:rsid w:val="00B55ADA"/>
    <w:rPr>
      <w:b/>
      <w:bCs/>
    </w:rPr>
  </w:style>
  <w:style w:type="paragraph" w:styleId="Akapitzlist">
    <w:name w:val="List Paragraph"/>
    <w:basedOn w:val="Normalny"/>
    <w:uiPriority w:val="34"/>
    <w:qFormat/>
    <w:rsid w:val="00FE3F46"/>
    <w:pPr>
      <w:ind w:left="708"/>
    </w:pPr>
  </w:style>
  <w:style w:type="paragraph" w:customStyle="1" w:styleId="pauzatab">
    <w:name w:val="pauzatab"/>
    <w:basedOn w:val="Normalny"/>
    <w:rsid w:val="00CC356E"/>
    <w:pPr>
      <w:numPr>
        <w:numId w:val="6"/>
      </w:numPr>
      <w:tabs>
        <w:tab w:val="clear" w:pos="927"/>
        <w:tab w:val="left" w:pos="227"/>
        <w:tab w:val="num" w:pos="1353"/>
      </w:tabs>
      <w:spacing w:before="20" w:after="20"/>
      <w:ind w:left="1220"/>
      <w:jc w:val="both"/>
    </w:pPr>
    <w:rPr>
      <w:rFonts w:ascii="Arial" w:hAnsi="Arial"/>
      <w:sz w:val="1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Biuro</cp:lastModifiedBy>
  <cp:revision>36</cp:revision>
  <cp:lastPrinted>2023-08-31T07:21:00Z</cp:lastPrinted>
  <dcterms:created xsi:type="dcterms:W3CDTF">2017-12-14T12:23:00Z</dcterms:created>
  <dcterms:modified xsi:type="dcterms:W3CDTF">2023-08-31T07:21:00Z</dcterms:modified>
</cp:coreProperties>
</file>